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0FEA1" w14:textId="68B7B2B4" w:rsidR="00155E9A" w:rsidRDefault="00155E9A" w:rsidP="00155E9A">
      <w:pPr>
        <w:pStyle w:val="3GPPHeader"/>
        <w:spacing w:after="60"/>
        <w:rPr>
          <w:sz w:val="32"/>
          <w:szCs w:val="32"/>
          <w:highlight w:val="yellow"/>
        </w:rPr>
      </w:pPr>
      <w:r>
        <w:rPr>
          <w:lang w:val="en-US"/>
        </w:rPr>
        <w:t>3GPP TSG-RAN WG2 #103-Bis</w:t>
      </w:r>
      <w:r>
        <w:tab/>
      </w:r>
      <w:r>
        <w:rPr>
          <w:sz w:val="32"/>
          <w:szCs w:val="32"/>
        </w:rPr>
        <w:t xml:space="preserve"> </w:t>
      </w:r>
      <w:proofErr w:type="spellStart"/>
      <w:r>
        <w:rPr>
          <w:sz w:val="32"/>
          <w:szCs w:val="32"/>
        </w:rPr>
        <w:t>TDoc</w:t>
      </w:r>
      <w:proofErr w:type="spellEnd"/>
      <w:r>
        <w:rPr>
          <w:sz w:val="32"/>
          <w:szCs w:val="32"/>
        </w:rPr>
        <w:t xml:space="preserve"> </w:t>
      </w:r>
      <w:r w:rsidR="005C4EAA" w:rsidRPr="005C4EAA">
        <w:rPr>
          <w:sz w:val="32"/>
          <w:szCs w:val="32"/>
        </w:rPr>
        <w:t>R2-1815031</w:t>
      </w:r>
      <w:bookmarkStart w:id="0" w:name="_GoBack"/>
      <w:bookmarkEnd w:id="0"/>
    </w:p>
    <w:p w14:paraId="6ED54D70" w14:textId="77777777" w:rsidR="00155E9A" w:rsidRDefault="00155E9A" w:rsidP="00155E9A">
      <w:pPr>
        <w:pStyle w:val="CRCoverPage"/>
        <w:outlineLvl w:val="0"/>
        <w:rPr>
          <w:b/>
          <w:noProof/>
          <w:sz w:val="24"/>
          <w:szCs w:val="20"/>
        </w:rPr>
      </w:pPr>
      <w:r>
        <w:rPr>
          <w:b/>
          <w:noProof/>
          <w:sz w:val="24"/>
        </w:rPr>
        <w:t>Chengdu,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October 2018</w:t>
      </w:r>
    </w:p>
    <w:p w14:paraId="182AF6E6" w14:textId="77777777" w:rsidR="00FB53E8" w:rsidRPr="00332838" w:rsidRDefault="00FB53E8" w:rsidP="00FB53E8">
      <w:pPr>
        <w:pStyle w:val="3GPPHeader"/>
        <w:rPr>
          <w:sz w:val="22"/>
          <w:szCs w:val="22"/>
        </w:rPr>
      </w:pPr>
    </w:p>
    <w:p w14:paraId="434E93D2" w14:textId="1D1FAF75" w:rsidR="00FB53E8" w:rsidRPr="004D2AAE" w:rsidRDefault="00FB53E8" w:rsidP="00FB53E8">
      <w:pPr>
        <w:pStyle w:val="3GPPHeader"/>
        <w:rPr>
          <w:sz w:val="22"/>
          <w:szCs w:val="22"/>
          <w:lang w:val="en-US"/>
        </w:rPr>
      </w:pPr>
      <w:r w:rsidRPr="004D2AAE">
        <w:rPr>
          <w:sz w:val="22"/>
          <w:szCs w:val="22"/>
          <w:lang w:val="en-US"/>
        </w:rPr>
        <w:t>Agenda Item:</w:t>
      </w:r>
      <w:r w:rsidRPr="004D2AAE">
        <w:rPr>
          <w:sz w:val="22"/>
          <w:szCs w:val="22"/>
          <w:lang w:val="en-US"/>
        </w:rPr>
        <w:tab/>
      </w:r>
      <w:r>
        <w:rPr>
          <w:sz w:val="22"/>
          <w:szCs w:val="22"/>
          <w:lang w:val="en-US"/>
        </w:rPr>
        <w:t>11.2.1.</w:t>
      </w:r>
      <w:r w:rsidR="000952BE">
        <w:rPr>
          <w:sz w:val="22"/>
          <w:szCs w:val="22"/>
          <w:lang w:val="en-US"/>
        </w:rPr>
        <w:t>3</w:t>
      </w:r>
    </w:p>
    <w:p w14:paraId="3889B6F5" w14:textId="77777777" w:rsidR="00FB53E8" w:rsidRPr="00901182" w:rsidRDefault="00FB53E8" w:rsidP="00FB53E8">
      <w:pPr>
        <w:pStyle w:val="3GPPHeader"/>
        <w:rPr>
          <w:sz w:val="22"/>
          <w:szCs w:val="22"/>
          <w:lang w:val="en-US"/>
        </w:rPr>
      </w:pPr>
      <w:r w:rsidRPr="00901182">
        <w:rPr>
          <w:sz w:val="22"/>
          <w:szCs w:val="22"/>
          <w:lang w:val="en-US"/>
        </w:rPr>
        <w:t>Source:</w:t>
      </w:r>
      <w:r w:rsidRPr="00901182">
        <w:rPr>
          <w:sz w:val="22"/>
          <w:szCs w:val="22"/>
          <w:lang w:val="en-US"/>
        </w:rPr>
        <w:tab/>
        <w:t>Ericsson</w:t>
      </w:r>
    </w:p>
    <w:p w14:paraId="163C9C6A" w14:textId="77777777" w:rsidR="00FB53E8" w:rsidRPr="00901182" w:rsidRDefault="00FB53E8" w:rsidP="00FB53E8">
      <w:pPr>
        <w:pStyle w:val="3GPPHeader"/>
        <w:rPr>
          <w:sz w:val="22"/>
          <w:szCs w:val="22"/>
          <w:lang w:val="en-US"/>
        </w:rPr>
      </w:pPr>
      <w:r w:rsidRPr="00901182">
        <w:rPr>
          <w:sz w:val="22"/>
          <w:szCs w:val="22"/>
          <w:lang w:val="en-US"/>
        </w:rPr>
        <w:t>Title:</w:t>
      </w:r>
      <w:r w:rsidRPr="00901182">
        <w:rPr>
          <w:sz w:val="22"/>
          <w:szCs w:val="22"/>
          <w:lang w:val="en-US"/>
        </w:rPr>
        <w:tab/>
      </w:r>
      <w:r>
        <w:rPr>
          <w:sz w:val="22"/>
          <w:szCs w:val="22"/>
          <w:lang w:val="en-US"/>
        </w:rPr>
        <w:t>Discussions on wideband operation and bandwidth part</w:t>
      </w:r>
    </w:p>
    <w:p w14:paraId="2E4945F5" w14:textId="77777777" w:rsidR="00FB53E8" w:rsidRPr="00901182" w:rsidRDefault="00FB53E8" w:rsidP="00FB53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4C0D8B5D" w14:textId="77777777" w:rsidR="00FB53E8" w:rsidRPr="00491842" w:rsidRDefault="00FB53E8" w:rsidP="00FB53E8">
      <w:pPr>
        <w:pStyle w:val="3GPPHeader"/>
        <w:spacing w:after="60"/>
      </w:pPr>
    </w:p>
    <w:p w14:paraId="3EA853F0" w14:textId="77777777" w:rsidR="00FB53E8" w:rsidRDefault="00FB53E8" w:rsidP="00FB53E8">
      <w:pPr>
        <w:pStyle w:val="Heading1"/>
        <w:rPr>
          <w:lang w:val="en-US"/>
        </w:rPr>
      </w:pPr>
      <w:r w:rsidRPr="00901182">
        <w:rPr>
          <w:lang w:val="en-US"/>
        </w:rPr>
        <w:t>Introduction</w:t>
      </w:r>
    </w:p>
    <w:p w14:paraId="5AA90044" w14:textId="77777777" w:rsidR="00FB53E8" w:rsidRPr="00544B0F" w:rsidRDefault="00FB53E8" w:rsidP="00FB53E8">
      <w:pPr>
        <w:spacing w:after="0"/>
        <w:rPr>
          <w:rFonts w:cs="Arial"/>
        </w:rPr>
      </w:pPr>
      <w:r w:rsidRPr="00544B0F">
        <w:rPr>
          <w:rFonts w:cs="Arial"/>
        </w:rPr>
        <w:t xml:space="preserve">RAN1 has discussed about how to support wideband operations, and made below </w:t>
      </w:r>
      <w:proofErr w:type="gramStart"/>
      <w:r w:rsidRPr="00544B0F">
        <w:rPr>
          <w:rFonts w:cs="Arial"/>
        </w:rPr>
        <w:t>agreements..</w:t>
      </w:r>
      <w:proofErr w:type="gramEnd"/>
      <w:r w:rsidRPr="00544B0F">
        <w:rPr>
          <w:rFonts w:cs="Arial"/>
        </w:rPr>
        <w:t xml:space="preserve"> </w:t>
      </w:r>
    </w:p>
    <w:p w14:paraId="207C27FE" w14:textId="77777777" w:rsidR="00FB53E8" w:rsidRPr="00544B0F" w:rsidRDefault="00FB53E8" w:rsidP="00FB53E8">
      <w:pPr>
        <w:widowControl w:val="0"/>
        <w:numPr>
          <w:ilvl w:val="0"/>
          <w:numId w:val="20"/>
        </w:numPr>
        <w:overflowPunct/>
        <w:autoSpaceDE/>
        <w:autoSpaceDN/>
        <w:adjustRightInd/>
        <w:spacing w:after="0"/>
        <w:textAlignment w:val="auto"/>
        <w:rPr>
          <w:rFonts w:cs="Arial"/>
        </w:rPr>
      </w:pPr>
      <w:r w:rsidRPr="00544B0F">
        <w:rPr>
          <w:rFonts w:cs="Arial"/>
        </w:rPr>
        <w:t xml:space="preserve">In the band (sub-7 GHz) where NR-U is operating, the NR-U operating bandwidth is an integer  </w:t>
      </w:r>
    </w:p>
    <w:p w14:paraId="5616F558" w14:textId="77777777" w:rsidR="00FB53E8" w:rsidRPr="00544B0F" w:rsidRDefault="00FB53E8" w:rsidP="00FB53E8">
      <w:pPr>
        <w:widowControl w:val="0"/>
        <w:spacing w:after="0"/>
        <w:ind w:left="720"/>
        <w:rPr>
          <w:rFonts w:cs="Arial"/>
        </w:rPr>
      </w:pPr>
      <w:r w:rsidRPr="00544B0F">
        <w:rPr>
          <w:rFonts w:cs="Arial"/>
        </w:rPr>
        <w:t xml:space="preserve">multiple of 20MHz </w:t>
      </w:r>
    </w:p>
    <w:p w14:paraId="49CF020A" w14:textId="77777777" w:rsidR="00FB53E8" w:rsidRPr="00544B0F" w:rsidRDefault="00FB53E8" w:rsidP="00FB53E8">
      <w:pPr>
        <w:widowControl w:val="0"/>
        <w:numPr>
          <w:ilvl w:val="0"/>
          <w:numId w:val="20"/>
        </w:numPr>
        <w:overflowPunct/>
        <w:autoSpaceDE/>
        <w:autoSpaceDN/>
        <w:adjustRightInd/>
        <w:spacing w:after="0"/>
        <w:textAlignment w:val="auto"/>
        <w:rPr>
          <w:rFonts w:cs="Arial"/>
        </w:rPr>
      </w:pPr>
      <w:r w:rsidRPr="00544B0F">
        <w:rPr>
          <w:rFonts w:cs="Arial"/>
        </w:rPr>
        <w:t xml:space="preserve">At least for band where absence of Wi-Fi cannot be guaranteed (e.g. by regulation), LBT can be performed in units of 20 </w:t>
      </w:r>
      <w:proofErr w:type="spellStart"/>
      <w:r w:rsidRPr="00544B0F">
        <w:rPr>
          <w:rFonts w:cs="Arial"/>
        </w:rPr>
        <w:t>MHz.</w:t>
      </w:r>
      <w:proofErr w:type="spellEnd"/>
      <w:r w:rsidRPr="00544B0F">
        <w:rPr>
          <w:rFonts w:cs="Arial"/>
        </w:rPr>
        <w:t xml:space="preserve"> </w:t>
      </w:r>
    </w:p>
    <w:p w14:paraId="258E2801" w14:textId="77777777" w:rsidR="00FB53E8" w:rsidRPr="00544B0F" w:rsidRDefault="00FB53E8" w:rsidP="00FB53E8">
      <w:pPr>
        <w:widowControl w:val="0"/>
        <w:numPr>
          <w:ilvl w:val="1"/>
          <w:numId w:val="20"/>
        </w:numPr>
        <w:overflowPunct/>
        <w:autoSpaceDE/>
        <w:autoSpaceDN/>
        <w:adjustRightInd/>
        <w:spacing w:after="0"/>
        <w:textAlignment w:val="auto"/>
        <w:rPr>
          <w:rFonts w:cs="Arial"/>
        </w:rPr>
      </w:pPr>
      <w:r w:rsidRPr="00544B0F">
        <w:rPr>
          <w:rFonts w:cs="Arial"/>
        </w:rPr>
        <w:t xml:space="preserve">FFS: details on how to perform LBT for as single carrier with bandwidth greater than 20 MHz, i.e., integer multiples of 20 </w:t>
      </w:r>
      <w:proofErr w:type="spellStart"/>
      <w:r w:rsidRPr="00544B0F">
        <w:rPr>
          <w:rFonts w:cs="Arial"/>
        </w:rPr>
        <w:t>MHz.</w:t>
      </w:r>
      <w:proofErr w:type="spellEnd"/>
    </w:p>
    <w:p w14:paraId="0DCA00E1" w14:textId="77777777" w:rsidR="00470B75" w:rsidRPr="0028095E" w:rsidRDefault="00470B75" w:rsidP="00470B75">
      <w:pPr>
        <w:pStyle w:val="BodyText"/>
      </w:pPr>
      <w:r w:rsidRPr="0066796A">
        <w:t>As for NR in licensed bands</w:t>
      </w:r>
      <w:r w:rsidRPr="006D6B0B">
        <w:t>, it is expected that NR-U will support transmissions over a wide bandwidth (&gt;&gt; 20 MHz).</w:t>
      </w:r>
      <w:r w:rsidRPr="0028095E">
        <w:t xml:space="preserve"> In NR Rel-15 there are two modes of operation to support wideband transmissions:</w:t>
      </w:r>
    </w:p>
    <w:p w14:paraId="19906AEB" w14:textId="77777777" w:rsidR="00470B75" w:rsidRPr="0028095E" w:rsidRDefault="00470B75" w:rsidP="00470B75">
      <w:pPr>
        <w:pStyle w:val="Header"/>
        <w:numPr>
          <w:ilvl w:val="0"/>
          <w:numId w:val="22"/>
        </w:numPr>
        <w:tabs>
          <w:tab w:val="clear" w:pos="4536"/>
          <w:tab w:val="clear" w:pos="9072"/>
        </w:tabs>
        <w:overflowPunct/>
        <w:autoSpaceDE/>
        <w:autoSpaceDN/>
        <w:adjustRightInd/>
        <w:jc w:val="left"/>
        <w:textAlignment w:val="auto"/>
        <w:rPr>
          <w:rFonts w:cs="Arial"/>
        </w:rPr>
      </w:pPr>
      <w:bookmarkStart w:id="1" w:name="_Hlk525634278"/>
      <w:r w:rsidRPr="00544B0F">
        <w:rPr>
          <w:rFonts w:cs="Arial"/>
          <w:b/>
        </w:rPr>
        <w:t>Mode 1</w:t>
      </w:r>
      <w:r w:rsidRPr="006D6B0B">
        <w:rPr>
          <w:rFonts w:cs="Arial"/>
        </w:rPr>
        <w:t>: Carr</w:t>
      </w:r>
      <w:r w:rsidRPr="0028095E">
        <w:rPr>
          <w:rFonts w:cs="Arial"/>
        </w:rPr>
        <w:t>ier aggregation (CA)-based wideband operation analogous to LTE-</w:t>
      </w:r>
      <w:proofErr w:type="spellStart"/>
      <w:r w:rsidRPr="0028095E">
        <w:rPr>
          <w:rFonts w:cs="Arial"/>
        </w:rPr>
        <w:t>eLAA</w:t>
      </w:r>
      <w:proofErr w:type="spellEnd"/>
    </w:p>
    <w:p w14:paraId="54626F2B" w14:textId="77777777" w:rsidR="00470B75" w:rsidRPr="0028095E" w:rsidRDefault="00470B75" w:rsidP="00470B75">
      <w:pPr>
        <w:pStyle w:val="Header"/>
        <w:numPr>
          <w:ilvl w:val="0"/>
          <w:numId w:val="22"/>
        </w:numPr>
        <w:tabs>
          <w:tab w:val="clear" w:pos="4536"/>
          <w:tab w:val="clear" w:pos="9072"/>
        </w:tabs>
        <w:overflowPunct/>
        <w:autoSpaceDE/>
        <w:autoSpaceDN/>
        <w:adjustRightInd/>
        <w:jc w:val="left"/>
        <w:textAlignment w:val="auto"/>
        <w:rPr>
          <w:rFonts w:cs="Arial"/>
        </w:rPr>
      </w:pPr>
      <w:r w:rsidRPr="00544B0F">
        <w:rPr>
          <w:rFonts w:cs="Arial"/>
          <w:b/>
        </w:rPr>
        <w:t>Mode 2</w:t>
      </w:r>
      <w:r w:rsidRPr="006D6B0B">
        <w:rPr>
          <w:rFonts w:cs="Arial"/>
        </w:rPr>
        <w:t xml:space="preserve">: </w:t>
      </w:r>
      <w:r w:rsidRPr="0028095E">
        <w:rPr>
          <w:rFonts w:cs="Arial"/>
        </w:rPr>
        <w:t>Single wideband carrier operation based on a single active bandwidth part (BWP)</w:t>
      </w:r>
      <w:bookmarkEnd w:id="1"/>
    </w:p>
    <w:p w14:paraId="5192FC85" w14:textId="372679FA" w:rsidR="00FB53E8" w:rsidRPr="00544B0F" w:rsidRDefault="00FB53E8" w:rsidP="00FF2A78">
      <w:pPr>
        <w:ind w:left="360"/>
        <w:rPr>
          <w:rFonts w:cs="Arial"/>
        </w:rPr>
      </w:pPr>
    </w:p>
    <w:p w14:paraId="0EEE6697" w14:textId="77777777" w:rsidR="00FB53E8" w:rsidRPr="006D6B0B" w:rsidRDefault="00FB53E8" w:rsidP="00FB53E8">
      <w:r w:rsidRPr="0066796A">
        <w:rPr>
          <w:rFonts w:cs="Arial"/>
        </w:rPr>
        <w:t xml:space="preserve"> </w:t>
      </w:r>
      <w:r w:rsidRPr="006D6B0B">
        <w:rPr>
          <w:rFonts w:cs="Arial"/>
        </w:rPr>
        <w:t>We give our analyses in this paper.</w:t>
      </w:r>
    </w:p>
    <w:p w14:paraId="6AE27463" w14:textId="77777777" w:rsidR="00FB53E8" w:rsidRDefault="00FB53E8" w:rsidP="00FB53E8">
      <w:pPr>
        <w:pStyle w:val="Heading1"/>
        <w:rPr>
          <w:lang w:val="en-US"/>
        </w:rPr>
      </w:pPr>
      <w:bookmarkStart w:id="2" w:name="_Ref525832305"/>
      <w:r>
        <w:rPr>
          <w:lang w:val="en-US"/>
        </w:rPr>
        <w:t>Discussions</w:t>
      </w:r>
      <w:bookmarkEnd w:id="2"/>
    </w:p>
    <w:p w14:paraId="3939C772" w14:textId="077A1E30" w:rsidR="008414BA" w:rsidRPr="00DF0091" w:rsidRDefault="008414BA" w:rsidP="008414BA">
      <w:pPr>
        <w:keepNext/>
        <w:overflowPunct/>
        <w:autoSpaceDE/>
        <w:autoSpaceDN/>
        <w:adjustRightInd/>
        <w:spacing w:after="0"/>
        <w:jc w:val="center"/>
        <w:textAlignment w:val="auto"/>
        <w:rPr>
          <w:rFonts w:eastAsia="PMingLiU" w:cs="Arial"/>
          <w:lang w:eastAsia="en-US"/>
        </w:rPr>
      </w:pPr>
      <w:r>
        <w:rPr>
          <w:rFonts w:cs="Arial"/>
          <w:noProof/>
        </w:rPr>
        <w:drawing>
          <wp:inline distT="0" distB="0" distL="0" distR="0" wp14:anchorId="05DE9AD1" wp14:editId="47E5FD65">
            <wp:extent cx="5486400" cy="282549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2825496"/>
                    </a:xfrm>
                    <a:prstGeom prst="rect">
                      <a:avLst/>
                    </a:prstGeom>
                    <a:noFill/>
                  </pic:spPr>
                </pic:pic>
              </a:graphicData>
            </a:graphic>
          </wp:inline>
        </w:drawing>
      </w:r>
    </w:p>
    <w:p w14:paraId="78A542A4" w14:textId="77777777" w:rsidR="008414BA" w:rsidRPr="00DF0091" w:rsidRDefault="008414BA" w:rsidP="008414BA">
      <w:pPr>
        <w:keepNext/>
        <w:tabs>
          <w:tab w:val="center" w:pos="1350"/>
          <w:tab w:val="center" w:pos="4950"/>
        </w:tabs>
        <w:overflowPunct/>
        <w:autoSpaceDE/>
        <w:autoSpaceDN/>
        <w:adjustRightInd/>
        <w:spacing w:before="120" w:after="0"/>
        <w:textAlignment w:val="auto"/>
        <w:rPr>
          <w:rFonts w:eastAsia="PMingLiU" w:cs="Arial"/>
          <w:lang w:eastAsia="en-US"/>
        </w:rPr>
      </w:pPr>
      <w:r w:rsidRPr="00DF0091">
        <w:rPr>
          <w:rFonts w:eastAsia="PMingLiU" w:cs="Arial"/>
          <w:lang w:eastAsia="en-US"/>
        </w:rPr>
        <w:tab/>
      </w:r>
      <w:r w:rsidRPr="00DF0091">
        <w:rPr>
          <w:rFonts w:eastAsia="PMingLiU" w:cs="Arial"/>
          <w:b/>
          <w:lang w:eastAsia="en-US"/>
        </w:rPr>
        <w:t>Mode 1</w:t>
      </w:r>
      <w:r w:rsidRPr="00DF0091">
        <w:rPr>
          <w:rFonts w:eastAsia="PMingLiU" w:cs="Arial"/>
          <w:lang w:eastAsia="en-US"/>
        </w:rPr>
        <w:tab/>
      </w:r>
      <w:r w:rsidRPr="00DF0091">
        <w:rPr>
          <w:rFonts w:eastAsia="PMingLiU" w:cs="Arial"/>
          <w:b/>
          <w:lang w:eastAsia="en-US"/>
        </w:rPr>
        <w:t>Mode 2</w:t>
      </w:r>
    </w:p>
    <w:p w14:paraId="76FA92CC" w14:textId="16079688" w:rsidR="008414BA" w:rsidRPr="008455CB" w:rsidRDefault="008414BA" w:rsidP="008414BA">
      <w:pPr>
        <w:overflowPunct/>
        <w:autoSpaceDE/>
        <w:autoSpaceDN/>
        <w:adjustRightInd/>
        <w:spacing w:before="120"/>
        <w:jc w:val="center"/>
        <w:textAlignment w:val="auto"/>
        <w:rPr>
          <w:rFonts w:eastAsia="PMingLiU" w:cs="Arial"/>
          <w:b/>
          <w:bCs/>
          <w:lang w:val="en-US" w:eastAsia="en-US"/>
        </w:rPr>
      </w:pPr>
      <w:bookmarkStart w:id="3" w:name="_Ref524529042"/>
      <w:r w:rsidRPr="008455CB">
        <w:rPr>
          <w:rFonts w:eastAsia="PMingLiU" w:cs="Arial"/>
          <w:b/>
          <w:bCs/>
          <w:lang w:val="en-US" w:eastAsia="en-US"/>
        </w:rPr>
        <w:t xml:space="preserve">Figure </w:t>
      </w:r>
      <w:r w:rsidRPr="008455CB">
        <w:rPr>
          <w:rFonts w:eastAsia="PMingLiU" w:cs="Arial"/>
          <w:b/>
          <w:bCs/>
          <w:noProof/>
          <w:lang w:val="en-US" w:eastAsia="en-US"/>
        </w:rPr>
        <w:fldChar w:fldCharType="begin"/>
      </w:r>
      <w:r w:rsidRPr="008455CB">
        <w:rPr>
          <w:rFonts w:eastAsia="PMingLiU" w:cs="Arial"/>
          <w:b/>
          <w:bCs/>
          <w:noProof/>
          <w:lang w:val="en-US" w:eastAsia="en-US"/>
        </w:rPr>
        <w:instrText xml:space="preserve"> SEQ Figure \* ARABIC </w:instrText>
      </w:r>
      <w:r w:rsidRPr="008455CB">
        <w:rPr>
          <w:rFonts w:eastAsia="PMingLiU" w:cs="Arial"/>
          <w:b/>
          <w:bCs/>
          <w:noProof/>
          <w:lang w:val="en-US" w:eastAsia="en-US"/>
        </w:rPr>
        <w:fldChar w:fldCharType="separate"/>
      </w:r>
      <w:r w:rsidR="00E61A7E">
        <w:rPr>
          <w:rFonts w:eastAsia="PMingLiU" w:cs="Arial"/>
          <w:b/>
          <w:bCs/>
          <w:noProof/>
          <w:lang w:val="en-US" w:eastAsia="en-US"/>
        </w:rPr>
        <w:t>1</w:t>
      </w:r>
      <w:r w:rsidRPr="008455CB">
        <w:rPr>
          <w:rFonts w:eastAsia="PMingLiU" w:cs="Arial"/>
          <w:b/>
          <w:bCs/>
          <w:noProof/>
          <w:lang w:val="en-US" w:eastAsia="en-US"/>
        </w:rPr>
        <w:fldChar w:fldCharType="end"/>
      </w:r>
      <w:bookmarkEnd w:id="3"/>
      <w:r w:rsidRPr="008455CB">
        <w:rPr>
          <w:rFonts w:eastAsia="PMingLiU" w:cs="Arial"/>
          <w:b/>
          <w:bCs/>
          <w:lang w:val="en-US" w:eastAsia="en-US"/>
        </w:rPr>
        <w:t>: Wideband operation modes: Mode 1 is CA-based; Mode 2 is single</w:t>
      </w:r>
      <w:r>
        <w:rPr>
          <w:rFonts w:eastAsia="PMingLiU" w:cs="Arial"/>
          <w:b/>
          <w:bCs/>
          <w:lang w:val="en-US" w:eastAsia="en-US"/>
        </w:rPr>
        <w:t xml:space="preserve"> </w:t>
      </w:r>
      <w:r w:rsidRPr="008455CB">
        <w:rPr>
          <w:rFonts w:eastAsia="PMingLiU" w:cs="Arial"/>
          <w:b/>
          <w:bCs/>
          <w:lang w:val="en-US" w:eastAsia="en-US"/>
        </w:rPr>
        <w:t>wideband carrier-based.</w:t>
      </w:r>
    </w:p>
    <w:p w14:paraId="0C97E963" w14:textId="6987366A" w:rsidR="00FB53E8" w:rsidRDefault="00FB53E8" w:rsidP="00FB53E8">
      <w:pPr>
        <w:rPr>
          <w:lang w:val="en-US"/>
        </w:rPr>
      </w:pPr>
    </w:p>
    <w:p w14:paraId="3AE13256" w14:textId="2C768BF8" w:rsidR="00FB53E8" w:rsidRDefault="00FB53E8" w:rsidP="00FB53E8">
      <w:r>
        <w:rPr>
          <w:lang w:val="en-US"/>
        </w:rPr>
        <w:lastRenderedPageBreak/>
        <w:t>As described in</w:t>
      </w:r>
      <w:r w:rsidR="00DC1624">
        <w:rPr>
          <w:lang w:val="en-US"/>
        </w:rPr>
        <w:t xml:space="preserve"> </w:t>
      </w:r>
      <w:r w:rsidR="00DC1624">
        <w:rPr>
          <w:lang w:val="en-US"/>
        </w:rPr>
        <w:fldChar w:fldCharType="begin"/>
      </w:r>
      <w:r w:rsidR="00DC1624">
        <w:rPr>
          <w:lang w:val="en-US"/>
        </w:rPr>
        <w:instrText xml:space="preserve"> REF _Ref525832353 \r \h </w:instrText>
      </w:r>
      <w:r w:rsidR="00DC1624">
        <w:rPr>
          <w:lang w:val="en-US"/>
        </w:rPr>
      </w:r>
      <w:r w:rsidR="00DC1624">
        <w:rPr>
          <w:lang w:val="en-US"/>
        </w:rPr>
        <w:fldChar w:fldCharType="separate"/>
      </w:r>
      <w:r w:rsidR="00DC1624">
        <w:rPr>
          <w:lang w:val="en-US"/>
        </w:rPr>
        <w:t>[1]</w:t>
      </w:r>
      <w:r w:rsidR="00DC1624">
        <w:rPr>
          <w:lang w:val="en-US"/>
        </w:rPr>
        <w:fldChar w:fldCharType="end"/>
      </w:r>
      <w:r>
        <w:rPr>
          <w:lang w:val="en-US"/>
        </w:rPr>
        <w:t xml:space="preserve">, compared to </w:t>
      </w:r>
      <w:r w:rsidR="00A647D4">
        <w:rPr>
          <w:lang w:val="en-US"/>
        </w:rPr>
        <w:t xml:space="preserve">Mode </w:t>
      </w:r>
      <w:r w:rsidR="006878F4">
        <w:rPr>
          <w:lang w:val="en-US"/>
        </w:rPr>
        <w:t>2</w:t>
      </w:r>
      <w:r>
        <w:rPr>
          <w:lang w:val="en-US"/>
        </w:rPr>
        <w:t xml:space="preserve"> approach, </w:t>
      </w:r>
      <w:r w:rsidR="009834D2">
        <w:rPr>
          <w:lang w:val="en-US"/>
        </w:rPr>
        <w:t>Mode 1</w:t>
      </w:r>
      <w:r>
        <w:rPr>
          <w:lang w:val="en-US"/>
        </w:rPr>
        <w:t xml:space="preserve"> </w:t>
      </w:r>
      <w:r>
        <w:t xml:space="preserve">has less standard impact (using LTE-based LAA as baseline) and require less stringent processing requirements since parallel transport block processing can be performed independently per CC. There are also other drawbacks for </w:t>
      </w:r>
      <w:r w:rsidR="00935977">
        <w:t>Mode 2</w:t>
      </w:r>
      <w:r>
        <w:t xml:space="preserve"> highlighted in</w:t>
      </w:r>
      <w:r w:rsidR="00DC1624">
        <w:t xml:space="preserve"> </w:t>
      </w:r>
      <w:r w:rsidR="00DC1624">
        <w:fldChar w:fldCharType="begin"/>
      </w:r>
      <w:r w:rsidR="00DC1624">
        <w:instrText xml:space="preserve"> REF _Ref525832353 \r \h </w:instrText>
      </w:r>
      <w:r w:rsidR="00DC1624">
        <w:fldChar w:fldCharType="separate"/>
      </w:r>
      <w:r w:rsidR="00DC1624">
        <w:t>[1]</w:t>
      </w:r>
      <w:r w:rsidR="00DC1624">
        <w:fldChar w:fldCharType="end"/>
      </w:r>
      <w:r>
        <w:t xml:space="preserve">. One issue is about the case where a UE cannot grasp all configured LBT bandwidth pieces due to the LBT failures prior to a transmission. The MAC PDU has been already built for the full LBT bandwidth pieces before the LBT operations. The UE would then have no </w:t>
      </w:r>
      <w:proofErr w:type="gramStart"/>
      <w:r>
        <w:t>sufficient</w:t>
      </w:r>
      <w:proofErr w:type="gramEnd"/>
      <w:r>
        <w:t xml:space="preserve"> time left to reprocess the MAC PDU to fit with the bandwidth pieces that are grasped. </w:t>
      </w:r>
    </w:p>
    <w:p w14:paraId="4B7FECAE" w14:textId="77777777" w:rsidR="00D3541E" w:rsidRDefault="00D3541E" w:rsidP="00D3541E">
      <w:pPr>
        <w:pStyle w:val="Observation"/>
        <w:rPr>
          <w:lang w:val="en-US"/>
        </w:rPr>
      </w:pPr>
      <w:bookmarkStart w:id="4" w:name="_Toc525809949"/>
      <w:bookmarkStart w:id="5" w:name="_Toc525832298"/>
      <w:bookmarkStart w:id="6" w:name="_Toc525832318"/>
      <w:r>
        <w:rPr>
          <w:lang w:val="en-US"/>
        </w:rPr>
        <w:t xml:space="preserve">Mode 1 </w:t>
      </w:r>
      <w:r>
        <w:t>has less standard impact (using LTE-based LAA as baseline) and require less stringent processing requirements</w:t>
      </w:r>
      <w:r w:rsidRPr="0032193D">
        <w:rPr>
          <w:lang w:val="en-US"/>
        </w:rPr>
        <w:t>.</w:t>
      </w:r>
      <w:bookmarkEnd w:id="4"/>
      <w:bookmarkEnd w:id="5"/>
      <w:bookmarkEnd w:id="6"/>
    </w:p>
    <w:p w14:paraId="6C54EFFF" w14:textId="50362E67" w:rsidR="00FB53E8" w:rsidRDefault="00FB53E8" w:rsidP="00FB53E8">
      <w:pPr>
        <w:pStyle w:val="Observation"/>
        <w:rPr>
          <w:lang w:val="en-US"/>
        </w:rPr>
      </w:pPr>
      <w:bookmarkStart w:id="7" w:name="_Toc525725861"/>
      <w:bookmarkStart w:id="8" w:name="_Toc525725905"/>
      <w:bookmarkStart w:id="9" w:name="_Toc525809950"/>
      <w:bookmarkStart w:id="10" w:name="_Toc525832299"/>
      <w:bookmarkStart w:id="11" w:name="_Toc525832319"/>
      <w:r>
        <w:rPr>
          <w:lang w:val="en-US"/>
        </w:rPr>
        <w:t xml:space="preserve">For </w:t>
      </w:r>
      <w:r w:rsidR="0088645E">
        <w:rPr>
          <w:lang w:val="en-US"/>
        </w:rPr>
        <w:t>Mode 2</w:t>
      </w:r>
      <w:r>
        <w:rPr>
          <w:lang w:val="en-US"/>
        </w:rPr>
        <w:t>, additional processing complexity is required for the UE in case the UE has obtained only part of bandwidth pieces which doesn’t fit the granted resources</w:t>
      </w:r>
      <w:r w:rsidRPr="0032193D">
        <w:rPr>
          <w:lang w:val="en-US"/>
        </w:rPr>
        <w:t>.</w:t>
      </w:r>
      <w:bookmarkEnd w:id="7"/>
      <w:bookmarkEnd w:id="8"/>
      <w:bookmarkEnd w:id="9"/>
      <w:bookmarkEnd w:id="10"/>
      <w:bookmarkEnd w:id="11"/>
    </w:p>
    <w:p w14:paraId="0F3D65B1" w14:textId="62304AFA" w:rsidR="00094E34" w:rsidRDefault="00094E34" w:rsidP="00094E34">
      <w:pPr>
        <w:pStyle w:val="BodyText"/>
      </w:pPr>
      <w:r>
        <w:t xml:space="preserve">One claimed drawback of Mode 1 is that each CC has a guard band defined by RAN4 which reduces the spectral utilization efficiency compared to Mode 2 for the case when transmission occurs over the full BWP. However, from RAN4 perspective there is no requirement that the guard bands between two or more </w:t>
      </w:r>
      <w:r w:rsidRPr="00D94931">
        <w:rPr>
          <w:i/>
        </w:rPr>
        <w:t>contiguous</w:t>
      </w:r>
      <w:r>
        <w:t xml:space="preserve"> carriers are left empty. Hence, optimizations may be considered whereby the transmitting device uses the guard REs and the receiving device assumes that </w:t>
      </w:r>
      <w:proofErr w:type="spellStart"/>
      <w:r>
        <w:t>PxSCH</w:t>
      </w:r>
      <w:proofErr w:type="spellEnd"/>
      <w:r>
        <w:t xml:space="preserve"> is mapped to these </w:t>
      </w:r>
      <w:proofErr w:type="spellStart"/>
      <w:r>
        <w:t>REs.</w:t>
      </w:r>
      <w:proofErr w:type="spellEnd"/>
    </w:p>
    <w:p w14:paraId="69AE057E" w14:textId="3F2E4DC9" w:rsidR="00CD19C0" w:rsidRDefault="00CD19C0" w:rsidP="00CD19C0">
      <w:pPr>
        <w:pStyle w:val="Observation"/>
        <w:rPr>
          <w:lang w:val="en-US"/>
        </w:rPr>
      </w:pPr>
      <w:bookmarkStart w:id="12" w:name="_Toc525809951"/>
      <w:bookmarkStart w:id="13" w:name="_Toc525832300"/>
      <w:bookmarkStart w:id="14" w:name="_Toc525832320"/>
      <w:r>
        <w:t xml:space="preserve">For Mode 1 wideband operation in NR-U, it is beneficial to utilize the guard bands between two or more contiguous CCs for </w:t>
      </w:r>
      <w:proofErr w:type="spellStart"/>
      <w:r>
        <w:t>PxSCH</w:t>
      </w:r>
      <w:proofErr w:type="spellEnd"/>
      <w:r>
        <w:t xml:space="preserve"> reception (x = D for downlink and = U for uplink)</w:t>
      </w:r>
      <w:r w:rsidRPr="0032193D">
        <w:rPr>
          <w:lang w:val="en-US"/>
        </w:rPr>
        <w:t>.</w:t>
      </w:r>
      <w:bookmarkEnd w:id="12"/>
      <w:bookmarkEnd w:id="13"/>
      <w:bookmarkEnd w:id="14"/>
    </w:p>
    <w:p w14:paraId="1115DFF5" w14:textId="280FF488" w:rsidR="00094E34" w:rsidRDefault="00094E34" w:rsidP="00094E34">
      <w:r>
        <w:t xml:space="preserve">For Mode 2, </w:t>
      </w:r>
      <w:r w:rsidR="00D04C26">
        <w:t>t</w:t>
      </w:r>
      <w:r>
        <w:t>wo possible approaches considered here are: (1) sub-band LBT where LBT is performed in units of 20 MHz, and (2) wideband LBT where LBT is performed over the full bandwidth of the BWP. In the latter, transmission only occurs if the entire BWP is sensed as unoccupied</w:t>
      </w:r>
      <w:r w:rsidR="0028095E">
        <w:t>.</w:t>
      </w:r>
    </w:p>
    <w:p w14:paraId="78618FA9" w14:textId="63BAF828" w:rsidR="0028095E" w:rsidRDefault="0028095E" w:rsidP="0028095E">
      <w:pPr>
        <w:pStyle w:val="BodyText"/>
      </w:pPr>
      <w:r>
        <w:t>for wideband LBT, the channel is sensed over the entire BWP. Based on this, transmission occurs over the entire BWP if LBT is successful, or not at all if LBT fails. In contrast to sub-band LBT, wideband LBT avoids the puncturing/rate matching issues and the guard band issues mentioned in the prior two sections, thus avoiding many RAN1 and RAN4 specification changes. We point out that such specification changes would end up making single-wideband carrier transmission with sub-band LBT very similar to CA-based operation anyway. It seems entirely unnecessary to re-invent the wheel. Based on this, we propose the following</w:t>
      </w:r>
    </w:p>
    <w:p w14:paraId="16CF1264" w14:textId="77777777" w:rsidR="00711990" w:rsidRPr="00544B0F" w:rsidRDefault="00711990" w:rsidP="0028095E">
      <w:pPr>
        <w:pStyle w:val="BodyText"/>
        <w:rPr>
          <w:lang w:val="en-US"/>
        </w:rPr>
      </w:pPr>
    </w:p>
    <w:p w14:paraId="51D13117" w14:textId="77777777" w:rsidR="0028095E" w:rsidRDefault="0028095E" w:rsidP="0028095E">
      <w:pPr>
        <w:pStyle w:val="Proposal"/>
        <w:tabs>
          <w:tab w:val="clear" w:pos="1304"/>
        </w:tabs>
        <w:ind w:left="1701" w:hanging="1701"/>
      </w:pPr>
      <w:bookmarkStart w:id="15" w:name="_Toc525672359"/>
      <w:bookmarkStart w:id="16" w:name="_Toc525809953"/>
      <w:bookmarkStart w:id="17" w:name="_Toc525832302"/>
      <w:bookmarkStart w:id="18" w:name="_Toc525832322"/>
      <w:r>
        <w:t>NR-U supports CA-based wideband carrier operation (Mode-1) with carrier bandwidth equal to the LBT bandwidth.</w:t>
      </w:r>
      <w:bookmarkEnd w:id="15"/>
      <w:bookmarkEnd w:id="16"/>
      <w:bookmarkEnd w:id="17"/>
      <w:bookmarkEnd w:id="18"/>
    </w:p>
    <w:p w14:paraId="79129F6F" w14:textId="77777777" w:rsidR="00711990" w:rsidRDefault="0028095E" w:rsidP="00711990">
      <w:pPr>
        <w:pStyle w:val="Proposal"/>
        <w:tabs>
          <w:tab w:val="clear" w:pos="1304"/>
        </w:tabs>
        <w:ind w:left="1701" w:hanging="1701"/>
      </w:pPr>
      <w:bookmarkStart w:id="19" w:name="_Toc525672360"/>
      <w:bookmarkStart w:id="20" w:name="_Toc525809954"/>
      <w:bookmarkStart w:id="21" w:name="_Toc525832303"/>
      <w:bookmarkStart w:id="22" w:name="_Toc525832323"/>
      <w:r>
        <w:t>NR-U supports single wideband carrier operation (Mode-2) with wideband LBT only, and not sub-band LBT.</w:t>
      </w:r>
      <w:bookmarkEnd w:id="19"/>
      <w:bookmarkEnd w:id="20"/>
      <w:bookmarkEnd w:id="21"/>
      <w:bookmarkEnd w:id="22"/>
    </w:p>
    <w:p w14:paraId="18A1F77D" w14:textId="77777777" w:rsidR="00711990" w:rsidRDefault="00711990" w:rsidP="00544B0F">
      <w:pPr>
        <w:pStyle w:val="Proposal"/>
        <w:numPr>
          <w:ilvl w:val="0"/>
          <w:numId w:val="0"/>
        </w:numPr>
      </w:pPr>
    </w:p>
    <w:p w14:paraId="61FA62BA" w14:textId="084FAED1" w:rsidR="00FB53E8" w:rsidRDefault="00FB53E8" w:rsidP="00FB53E8">
      <w:r>
        <w:t xml:space="preserve">In NR licensed, the BWP concept is to limit the UE to monitor only one active BWP to reduce UE power consumption. It is also motivated by a fact that it is typically unnecessary for a UE to support all BWPs be active at the same time for a limited data activity. </w:t>
      </w:r>
    </w:p>
    <w:p w14:paraId="5DAA5B6D" w14:textId="633224BC" w:rsidR="00FB53E8" w:rsidRDefault="00FB53E8" w:rsidP="00FB53E8">
      <w:r>
        <w:t>It is straightforward that NR-U sticks to the BWP concept to reduce the standardization efforts, so that the UE is configured with only one active BWP per carrier. This rule is valid for both control signalling transmission and data transmission.</w:t>
      </w:r>
    </w:p>
    <w:p w14:paraId="6F005D70" w14:textId="77777777" w:rsidR="00913FB2" w:rsidRPr="00FB0AE3" w:rsidRDefault="00913FB2" w:rsidP="00913FB2">
      <w:pPr>
        <w:rPr>
          <w:rFonts w:cs="Arial"/>
          <w:szCs w:val="21"/>
        </w:rPr>
      </w:pPr>
      <w:r w:rsidRPr="00FB0AE3">
        <w:rPr>
          <w:rFonts w:cs="Arial"/>
          <w:szCs w:val="21"/>
        </w:rPr>
        <w:t xml:space="preserve">In NR licensed, a wideband carrier can be up to 400MHz for above 6GHz and 100MHz for sub. </w:t>
      </w:r>
      <w:proofErr w:type="gramStart"/>
      <w:r w:rsidRPr="00FB0AE3">
        <w:rPr>
          <w:rFonts w:cs="Arial"/>
          <w:szCs w:val="21"/>
        </w:rPr>
        <w:t>In order to</w:t>
      </w:r>
      <w:proofErr w:type="gramEnd"/>
      <w:r w:rsidRPr="00FB0AE3">
        <w:rPr>
          <w:rFonts w:cs="Arial"/>
          <w:szCs w:val="21"/>
        </w:rPr>
        <w:t xml:space="preserve"> serve UE terminals with different bandwidth capabilities, the cell need to be configured with multiple BWPs with different bandwidth sizes. For wideband operation, companies have also proposed to support multiple active BWPs for the UE, which is not supported in NR Rel-15. 3GPP work groups must spend substantial additional efforts </w:t>
      </w:r>
      <w:proofErr w:type="gramStart"/>
      <w:r w:rsidRPr="00FB0AE3">
        <w:rPr>
          <w:rFonts w:cs="Arial"/>
          <w:szCs w:val="21"/>
        </w:rPr>
        <w:t>in order to</w:t>
      </w:r>
      <w:proofErr w:type="gramEnd"/>
      <w:r w:rsidRPr="00FB0AE3">
        <w:rPr>
          <w:rFonts w:cs="Arial"/>
          <w:szCs w:val="21"/>
        </w:rPr>
        <w:t xml:space="preserve"> support multiple active BWPs. however, the achieved functionalities with multiple active BWPs are much similar as that of carrier aggregation. Therefore, 3GPP shall not spend efforts to standardize the redundant feature. Additional RF requirements on cross BWP operations need to be specified in RAN4.</w:t>
      </w:r>
    </w:p>
    <w:p w14:paraId="7C0D78C9" w14:textId="23088004" w:rsidR="00913FB2" w:rsidRDefault="00913FB2" w:rsidP="00913FB2">
      <w:pPr>
        <w:pStyle w:val="Observation"/>
        <w:rPr>
          <w:lang w:val="en-US"/>
        </w:rPr>
      </w:pPr>
      <w:bookmarkStart w:id="23" w:name="_Toc525809952"/>
      <w:bookmarkStart w:id="24" w:name="_Toc525832301"/>
      <w:bookmarkStart w:id="25" w:name="_Toc525832321"/>
      <w:r>
        <w:rPr>
          <w:lang w:val="en-US"/>
        </w:rPr>
        <w:t>The achieved functionalities with multiple active BWPs are similar as that with carrier aggregation</w:t>
      </w:r>
      <w:r w:rsidRPr="0032193D">
        <w:rPr>
          <w:lang w:val="en-US"/>
        </w:rPr>
        <w:t>.</w:t>
      </w:r>
      <w:bookmarkEnd w:id="23"/>
      <w:bookmarkEnd w:id="24"/>
      <w:bookmarkEnd w:id="25"/>
    </w:p>
    <w:p w14:paraId="1823D2DA" w14:textId="13E1E05F" w:rsidR="00DF61BD" w:rsidRDefault="00DF61BD" w:rsidP="00DF61BD"/>
    <w:p w14:paraId="089425BA" w14:textId="77777777" w:rsidR="00DF61BD" w:rsidRPr="00183D03" w:rsidRDefault="00DF61BD" w:rsidP="00DF61BD">
      <w:pPr>
        <w:pStyle w:val="Proposal"/>
        <w:tabs>
          <w:tab w:val="clear" w:pos="1304"/>
        </w:tabs>
        <w:ind w:left="1701" w:hanging="1701"/>
      </w:pPr>
      <w:bookmarkStart w:id="26" w:name="_Toc525809955"/>
      <w:bookmarkStart w:id="27" w:name="_Toc525832304"/>
      <w:bookmarkStart w:id="28" w:name="_Toc525832324"/>
      <w:r>
        <w:t>NR-U sticks to the rules for BWP concept as in NR licensed, meaning that only one active BWP is configured for a UE per carrier.</w:t>
      </w:r>
      <w:bookmarkEnd w:id="26"/>
      <w:bookmarkEnd w:id="27"/>
      <w:bookmarkEnd w:id="28"/>
    </w:p>
    <w:p w14:paraId="36F92E29" w14:textId="77777777" w:rsidR="00DF61BD" w:rsidRPr="00544B0F" w:rsidRDefault="00DF61BD" w:rsidP="00544B0F"/>
    <w:p w14:paraId="7FE9D19D" w14:textId="77777777" w:rsidR="00FB53E8" w:rsidRPr="00901182" w:rsidRDefault="00FB53E8" w:rsidP="00FB53E8">
      <w:pPr>
        <w:pStyle w:val="Heading1"/>
        <w:rPr>
          <w:lang w:val="en-US"/>
        </w:rPr>
      </w:pPr>
      <w:r w:rsidRPr="00901182">
        <w:rPr>
          <w:lang w:val="en-US"/>
        </w:rPr>
        <w:t>Conclusion</w:t>
      </w:r>
    </w:p>
    <w:p w14:paraId="39AB9873" w14:textId="52C26719" w:rsidR="00E501DA" w:rsidRDefault="00E501DA" w:rsidP="00E501DA">
      <w:r>
        <w:t xml:space="preserve">In section </w:t>
      </w:r>
      <w:r w:rsidR="00013323">
        <w:fldChar w:fldCharType="begin"/>
      </w:r>
      <w:r w:rsidR="00013323">
        <w:instrText xml:space="preserve"> REF _Ref525832305 \r \h </w:instrText>
      </w:r>
      <w:r w:rsidR="00013323">
        <w:fldChar w:fldCharType="separate"/>
      </w:r>
      <w:r w:rsidR="00E61A7E">
        <w:t>2</w:t>
      </w:r>
      <w:r w:rsidR="00013323">
        <w:fldChar w:fldCharType="end"/>
      </w:r>
      <w:r w:rsidR="00013323">
        <w:t xml:space="preserve"> </w:t>
      </w:r>
      <w:r>
        <w:t>we made the following observations:</w:t>
      </w:r>
    </w:p>
    <w:p w14:paraId="3E72A7D0" w14:textId="77777777" w:rsidR="00E61A7E" w:rsidRDefault="00E501D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"Observation,1" </w:instrText>
      </w:r>
      <w:r>
        <w:rPr>
          <w:b w:val="0"/>
          <w:bCs/>
        </w:rPr>
        <w:fldChar w:fldCharType="separate"/>
      </w:r>
      <w:r w:rsidR="00E61A7E" w:rsidRPr="008F20BC">
        <w:t>Observation 1</w:t>
      </w:r>
      <w:r w:rsidR="00E61A7E">
        <w:rPr>
          <w:rFonts w:asciiTheme="minorHAnsi" w:eastAsiaTheme="minorEastAsia" w:hAnsiTheme="minorHAnsi" w:cstheme="minorBidi"/>
          <w:b w:val="0"/>
          <w:sz w:val="22"/>
          <w:lang w:eastAsia="en-US"/>
        </w:rPr>
        <w:tab/>
      </w:r>
      <w:r w:rsidR="00E61A7E" w:rsidRPr="008F20BC">
        <w:t xml:space="preserve">Mode 1 </w:t>
      </w:r>
      <w:r w:rsidR="00E61A7E">
        <w:t>has less standard impact (using LTE-based LAA as baseline) and require less stringent processing requirements</w:t>
      </w:r>
      <w:r w:rsidR="00E61A7E" w:rsidRPr="008F20BC">
        <w:t>.</w:t>
      </w:r>
    </w:p>
    <w:p w14:paraId="4F9C9F18" w14:textId="77777777" w:rsidR="00E61A7E" w:rsidRDefault="00E61A7E">
      <w:pPr>
        <w:pStyle w:val="TOC1"/>
        <w:rPr>
          <w:rFonts w:asciiTheme="minorHAnsi" w:eastAsiaTheme="minorEastAsia" w:hAnsiTheme="minorHAnsi" w:cstheme="minorBidi"/>
          <w:b w:val="0"/>
          <w:sz w:val="22"/>
          <w:lang w:eastAsia="en-US"/>
        </w:rPr>
      </w:pPr>
      <w:r w:rsidRPr="008F20BC">
        <w:t>Observation 2</w:t>
      </w:r>
      <w:r>
        <w:rPr>
          <w:rFonts w:asciiTheme="minorHAnsi" w:eastAsiaTheme="minorEastAsia" w:hAnsiTheme="minorHAnsi" w:cstheme="minorBidi"/>
          <w:b w:val="0"/>
          <w:sz w:val="22"/>
          <w:lang w:eastAsia="en-US"/>
        </w:rPr>
        <w:tab/>
      </w:r>
      <w:r w:rsidRPr="008F20BC">
        <w:t>For Mode 2, additional processing complexity is required for the UE in case the UE has obtained only part of bandwidth pieces which doesn’t fit the granted resources.</w:t>
      </w:r>
    </w:p>
    <w:p w14:paraId="46902EF7" w14:textId="77777777" w:rsidR="00E61A7E" w:rsidRDefault="00E61A7E">
      <w:pPr>
        <w:pStyle w:val="TOC1"/>
        <w:rPr>
          <w:rFonts w:asciiTheme="minorHAnsi" w:eastAsiaTheme="minorEastAsia" w:hAnsiTheme="minorHAnsi" w:cstheme="minorBidi"/>
          <w:b w:val="0"/>
          <w:sz w:val="22"/>
          <w:lang w:eastAsia="en-US"/>
        </w:rPr>
      </w:pPr>
      <w:r w:rsidRPr="008F20BC">
        <w:t>Observation 3</w:t>
      </w:r>
      <w:r>
        <w:rPr>
          <w:rFonts w:asciiTheme="minorHAnsi" w:eastAsiaTheme="minorEastAsia" w:hAnsiTheme="minorHAnsi" w:cstheme="minorBidi"/>
          <w:b w:val="0"/>
          <w:sz w:val="22"/>
          <w:lang w:eastAsia="en-US"/>
        </w:rPr>
        <w:tab/>
      </w:r>
      <w:r>
        <w:t>For Mode 1 wideband operation in NR-U, it is beneficial to utilize the guard bands between two or more contiguous CCs for PxSCH reception (x = D for downlink and = U for uplink)</w:t>
      </w:r>
      <w:r w:rsidRPr="008F20BC">
        <w:t>.</w:t>
      </w:r>
    </w:p>
    <w:p w14:paraId="24668C01" w14:textId="77777777" w:rsidR="00E61A7E" w:rsidRDefault="00E61A7E">
      <w:pPr>
        <w:pStyle w:val="TOC1"/>
        <w:rPr>
          <w:rFonts w:asciiTheme="minorHAnsi" w:eastAsiaTheme="minorEastAsia" w:hAnsiTheme="minorHAnsi" w:cstheme="minorBidi"/>
          <w:b w:val="0"/>
          <w:sz w:val="22"/>
          <w:lang w:eastAsia="en-US"/>
        </w:rPr>
      </w:pPr>
      <w:r w:rsidRPr="008F20BC">
        <w:t>Observation 4</w:t>
      </w:r>
      <w:r>
        <w:rPr>
          <w:rFonts w:asciiTheme="minorHAnsi" w:eastAsiaTheme="minorEastAsia" w:hAnsiTheme="minorHAnsi" w:cstheme="minorBidi"/>
          <w:b w:val="0"/>
          <w:sz w:val="22"/>
          <w:lang w:eastAsia="en-US"/>
        </w:rPr>
        <w:tab/>
      </w:r>
      <w:r w:rsidRPr="008F20BC">
        <w:t>The achieved functionalities with multiple active BWPs are similar as that with carrier aggregation.</w:t>
      </w:r>
    </w:p>
    <w:p w14:paraId="4B05B95D" w14:textId="18CE53D4" w:rsidR="00E501DA" w:rsidRDefault="00E501DA" w:rsidP="00E501DA">
      <w:pPr>
        <w:pStyle w:val="BodyText"/>
        <w:rPr>
          <w:b/>
          <w:bCs/>
          <w:highlight w:val="yellow"/>
        </w:rPr>
      </w:pPr>
      <w:r>
        <w:rPr>
          <w:b/>
          <w:bCs/>
        </w:rPr>
        <w:fldChar w:fldCharType="end"/>
      </w:r>
    </w:p>
    <w:p w14:paraId="35A50106" w14:textId="17776D8D" w:rsidR="00E501DA" w:rsidRDefault="00E501DA" w:rsidP="00E501DA">
      <w:r>
        <w:t xml:space="preserve">Based on the discussion in section </w:t>
      </w:r>
      <w:r w:rsidR="000562FC">
        <w:fldChar w:fldCharType="begin"/>
      </w:r>
      <w:r w:rsidR="000562FC">
        <w:instrText xml:space="preserve"> REF _Ref525832305 \r \h </w:instrText>
      </w:r>
      <w:r w:rsidR="000562FC">
        <w:fldChar w:fldCharType="separate"/>
      </w:r>
      <w:r w:rsidR="00E61A7E">
        <w:t>2</w:t>
      </w:r>
      <w:r w:rsidR="000562FC">
        <w:fldChar w:fldCharType="end"/>
      </w:r>
      <w:r w:rsidR="000562FC">
        <w:t xml:space="preserve"> </w:t>
      </w:r>
      <w:r>
        <w:t>we propose the following:</w:t>
      </w:r>
    </w:p>
    <w:p w14:paraId="3CFC83DE" w14:textId="77777777" w:rsidR="00E61A7E" w:rsidRDefault="00E501D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E61A7E">
        <w:t>Proposal 1</w:t>
      </w:r>
      <w:r w:rsidR="00E61A7E">
        <w:rPr>
          <w:rFonts w:asciiTheme="minorHAnsi" w:eastAsiaTheme="minorEastAsia" w:hAnsiTheme="minorHAnsi" w:cstheme="minorBidi"/>
          <w:b w:val="0"/>
          <w:sz w:val="22"/>
          <w:lang w:eastAsia="en-US"/>
        </w:rPr>
        <w:tab/>
      </w:r>
      <w:r w:rsidR="00E61A7E">
        <w:t>NR-U supports CA-based wideband carrier operation (Mode-1) with carrier bandwidth equal to the LBT bandwidth.</w:t>
      </w:r>
    </w:p>
    <w:p w14:paraId="3E5BAA53" w14:textId="77777777" w:rsidR="00E61A7E" w:rsidRDefault="00E61A7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NR-U supports single wideband carrier operation (Mode-2) with wideband LBT only, and not sub-band LBT.</w:t>
      </w:r>
    </w:p>
    <w:p w14:paraId="5DA2015A" w14:textId="77777777" w:rsidR="00E61A7E" w:rsidRDefault="00E61A7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NR-U sticks to the rules for BWP concept as in NR licensed, meaning that only one active BWP is configured for a UE per carrier.</w:t>
      </w:r>
    </w:p>
    <w:p w14:paraId="7A7B327A" w14:textId="16BF1E5D" w:rsidR="00FB53E8" w:rsidRDefault="00E501DA" w:rsidP="00E501DA">
      <w:pPr>
        <w:pStyle w:val="Heading1"/>
      </w:pPr>
      <w:r>
        <w:rPr>
          <w:b/>
          <w:bCs/>
        </w:rPr>
        <w:fldChar w:fldCharType="end"/>
      </w:r>
      <w:r w:rsidR="00FB53E8" w:rsidRPr="000F4A88">
        <w:t xml:space="preserve"> </w:t>
      </w:r>
      <w:r w:rsidR="00FB53E8">
        <w:t>References</w:t>
      </w:r>
    </w:p>
    <w:p w14:paraId="5D32B22C" w14:textId="5F073181" w:rsidR="00300AE8" w:rsidRPr="00D849DB" w:rsidRDefault="00FB53E8" w:rsidP="00D849DB">
      <w:pPr>
        <w:pStyle w:val="Reference"/>
        <w:widowControl w:val="0"/>
        <w:numPr>
          <w:ilvl w:val="0"/>
          <w:numId w:val="18"/>
        </w:numPr>
        <w:textAlignment w:val="auto"/>
        <w:rPr>
          <w:rFonts w:cs="Arial"/>
          <w:lang w:val="de-DE"/>
        </w:rPr>
      </w:pPr>
      <w:bookmarkStart w:id="29" w:name="_Ref525832353"/>
      <w:r>
        <w:rPr>
          <w:szCs w:val="32"/>
        </w:rPr>
        <w:t>R1-180</w:t>
      </w:r>
      <w:r w:rsidR="00843521">
        <w:rPr>
          <w:szCs w:val="32"/>
        </w:rPr>
        <w:t>xxxx</w:t>
      </w:r>
      <w:r>
        <w:rPr>
          <w:szCs w:val="32"/>
        </w:rPr>
        <w:t>, “Frame structure for NR-U”, Ericsson</w:t>
      </w:r>
      <w:bookmarkStart w:id="30" w:name="_Toc465844068"/>
      <w:bookmarkStart w:id="31" w:name="_Toc465844075"/>
      <w:bookmarkStart w:id="32" w:name="_Toc465844076"/>
      <w:bookmarkStart w:id="33" w:name="_Toc465844077"/>
      <w:bookmarkStart w:id="34" w:name="_Toc465844078"/>
      <w:bookmarkStart w:id="35" w:name="_Toc465844079"/>
      <w:bookmarkEnd w:id="29"/>
      <w:bookmarkEnd w:id="30"/>
      <w:bookmarkEnd w:id="31"/>
      <w:bookmarkEnd w:id="32"/>
      <w:bookmarkEnd w:id="33"/>
      <w:bookmarkEnd w:id="34"/>
      <w:bookmarkEnd w:id="35"/>
    </w:p>
    <w:sectPr w:rsidR="00300AE8" w:rsidRPr="00D849D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F351A" w14:textId="77777777" w:rsidR="00CB124B" w:rsidRDefault="00CB124B">
      <w:pPr>
        <w:spacing w:after="0"/>
      </w:pPr>
      <w:r>
        <w:separator/>
      </w:r>
    </w:p>
  </w:endnote>
  <w:endnote w:type="continuationSeparator" w:id="0">
    <w:p w14:paraId="541BBD04" w14:textId="77777777" w:rsidR="00CB124B" w:rsidRDefault="00CB124B">
      <w:pPr>
        <w:spacing w:after="0"/>
      </w:pPr>
      <w:r>
        <w:continuationSeparator/>
      </w:r>
    </w:p>
  </w:endnote>
  <w:endnote w:type="continuationNotice" w:id="1">
    <w:p w14:paraId="7956CD22" w14:textId="77777777" w:rsidR="00CB124B" w:rsidRDefault="00CB12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53F77" w14:textId="77777777" w:rsidR="00CB124B" w:rsidRDefault="00CB124B">
      <w:pPr>
        <w:spacing w:after="0"/>
      </w:pPr>
      <w:r>
        <w:separator/>
      </w:r>
    </w:p>
  </w:footnote>
  <w:footnote w:type="continuationSeparator" w:id="0">
    <w:p w14:paraId="3563A5E5" w14:textId="77777777" w:rsidR="00CB124B" w:rsidRDefault="00CB124B">
      <w:pPr>
        <w:spacing w:after="0"/>
      </w:pPr>
      <w:r>
        <w:continuationSeparator/>
      </w:r>
    </w:p>
  </w:footnote>
  <w:footnote w:type="continuationNotice" w:id="1">
    <w:p w14:paraId="1197BC7B" w14:textId="77777777" w:rsidR="00CB124B" w:rsidRDefault="00CB12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B66DD4"/>
    <w:multiLevelType w:val="hybridMultilevel"/>
    <w:tmpl w:val="1A98B28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8"/>
  </w:num>
  <w:num w:numId="3">
    <w:abstractNumId w:val="7"/>
  </w:num>
  <w:num w:numId="4">
    <w:abstractNumId w:val="9"/>
  </w:num>
  <w:num w:numId="5">
    <w:abstractNumId w:val="5"/>
  </w:num>
  <w:num w:numId="6">
    <w:abstractNumId w:val="12"/>
  </w:num>
  <w:num w:numId="7">
    <w:abstractNumId w:val="13"/>
  </w:num>
  <w:num w:numId="8">
    <w:abstractNumId w:val="9"/>
  </w:num>
  <w:num w:numId="9">
    <w:abstractNumId w:val="7"/>
  </w:num>
  <w:num w:numId="10">
    <w:abstractNumId w:val="9"/>
  </w:num>
  <w:num w:numId="11">
    <w:abstractNumId w:val="9"/>
  </w:num>
  <w:num w:numId="12">
    <w:abstractNumId w:val="9"/>
    <w:lvlOverride w:ilvl="0">
      <w:startOverride w:val="1"/>
    </w:lvlOverride>
  </w:num>
  <w:num w:numId="13">
    <w:abstractNumId w:val="14"/>
  </w:num>
  <w:num w:numId="14">
    <w:abstractNumId w:val="6"/>
  </w:num>
  <w:num w:numId="15">
    <w:abstractNumId w:val="4"/>
  </w:num>
  <w:num w:numId="16">
    <w:abstractNumId w:val="2"/>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3323"/>
    <w:rsid w:val="0001514B"/>
    <w:rsid w:val="00030EE7"/>
    <w:rsid w:val="00034708"/>
    <w:rsid w:val="000379FF"/>
    <w:rsid w:val="00041C84"/>
    <w:rsid w:val="000441B4"/>
    <w:rsid w:val="00044D45"/>
    <w:rsid w:val="00050D60"/>
    <w:rsid w:val="00054E7A"/>
    <w:rsid w:val="00055AD9"/>
    <w:rsid w:val="000562FC"/>
    <w:rsid w:val="00060A87"/>
    <w:rsid w:val="00071B1C"/>
    <w:rsid w:val="00073D40"/>
    <w:rsid w:val="00081D9F"/>
    <w:rsid w:val="00094D35"/>
    <w:rsid w:val="00094E34"/>
    <w:rsid w:val="000952BE"/>
    <w:rsid w:val="000A13B0"/>
    <w:rsid w:val="000A4992"/>
    <w:rsid w:val="000B6512"/>
    <w:rsid w:val="000C0B87"/>
    <w:rsid w:val="000C10AF"/>
    <w:rsid w:val="000D3330"/>
    <w:rsid w:val="000D7ACD"/>
    <w:rsid w:val="000E09A3"/>
    <w:rsid w:val="000E2F56"/>
    <w:rsid w:val="000E4C3F"/>
    <w:rsid w:val="000E71DC"/>
    <w:rsid w:val="000F0DF5"/>
    <w:rsid w:val="000F1BB3"/>
    <w:rsid w:val="000F4A88"/>
    <w:rsid w:val="00100090"/>
    <w:rsid w:val="00100756"/>
    <w:rsid w:val="001021C5"/>
    <w:rsid w:val="00102ADF"/>
    <w:rsid w:val="00103825"/>
    <w:rsid w:val="00105301"/>
    <w:rsid w:val="00105838"/>
    <w:rsid w:val="00110B6F"/>
    <w:rsid w:val="0012587C"/>
    <w:rsid w:val="00127734"/>
    <w:rsid w:val="00127A9D"/>
    <w:rsid w:val="00134978"/>
    <w:rsid w:val="00136333"/>
    <w:rsid w:val="00136A9B"/>
    <w:rsid w:val="0015156A"/>
    <w:rsid w:val="00151C45"/>
    <w:rsid w:val="00155E9A"/>
    <w:rsid w:val="00157B0E"/>
    <w:rsid w:val="00163A23"/>
    <w:rsid w:val="00165CC9"/>
    <w:rsid w:val="00175099"/>
    <w:rsid w:val="001807A6"/>
    <w:rsid w:val="001855A4"/>
    <w:rsid w:val="00190787"/>
    <w:rsid w:val="00197D8A"/>
    <w:rsid w:val="001A6773"/>
    <w:rsid w:val="001B2659"/>
    <w:rsid w:val="001B29BD"/>
    <w:rsid w:val="001B5920"/>
    <w:rsid w:val="001C2828"/>
    <w:rsid w:val="001C3E65"/>
    <w:rsid w:val="001C5113"/>
    <w:rsid w:val="001D026F"/>
    <w:rsid w:val="001E2131"/>
    <w:rsid w:val="001E270B"/>
    <w:rsid w:val="001F6E2B"/>
    <w:rsid w:val="00203669"/>
    <w:rsid w:val="00210394"/>
    <w:rsid w:val="00213D5F"/>
    <w:rsid w:val="00216405"/>
    <w:rsid w:val="00220B6E"/>
    <w:rsid w:val="002228BE"/>
    <w:rsid w:val="00230E68"/>
    <w:rsid w:val="002330C0"/>
    <w:rsid w:val="00233C44"/>
    <w:rsid w:val="002343E5"/>
    <w:rsid w:val="00237BFD"/>
    <w:rsid w:val="00243847"/>
    <w:rsid w:val="00246759"/>
    <w:rsid w:val="002473A8"/>
    <w:rsid w:val="00250C0D"/>
    <w:rsid w:val="00260E9E"/>
    <w:rsid w:val="002636F4"/>
    <w:rsid w:val="002644EB"/>
    <w:rsid w:val="00267A79"/>
    <w:rsid w:val="00274268"/>
    <w:rsid w:val="002808B8"/>
    <w:rsid w:val="0028095E"/>
    <w:rsid w:val="00282659"/>
    <w:rsid w:val="00290A77"/>
    <w:rsid w:val="002973A5"/>
    <w:rsid w:val="00297C6C"/>
    <w:rsid w:val="002A56D6"/>
    <w:rsid w:val="002A6EC1"/>
    <w:rsid w:val="002B36AD"/>
    <w:rsid w:val="002B6DF4"/>
    <w:rsid w:val="002C5AFE"/>
    <w:rsid w:val="002C6B36"/>
    <w:rsid w:val="002C7B14"/>
    <w:rsid w:val="002D333C"/>
    <w:rsid w:val="002E0C27"/>
    <w:rsid w:val="002E17E7"/>
    <w:rsid w:val="002F33F3"/>
    <w:rsid w:val="00300AE8"/>
    <w:rsid w:val="0030340C"/>
    <w:rsid w:val="003065DE"/>
    <w:rsid w:val="00316DEE"/>
    <w:rsid w:val="00317AB0"/>
    <w:rsid w:val="0032000C"/>
    <w:rsid w:val="0032181B"/>
    <w:rsid w:val="0032193D"/>
    <w:rsid w:val="00322AEB"/>
    <w:rsid w:val="0032538E"/>
    <w:rsid w:val="003275F6"/>
    <w:rsid w:val="00332838"/>
    <w:rsid w:val="00333110"/>
    <w:rsid w:val="00334C73"/>
    <w:rsid w:val="0033528E"/>
    <w:rsid w:val="00336AED"/>
    <w:rsid w:val="00337C73"/>
    <w:rsid w:val="00340C41"/>
    <w:rsid w:val="00343323"/>
    <w:rsid w:val="00346BCC"/>
    <w:rsid w:val="00351F98"/>
    <w:rsid w:val="003520EA"/>
    <w:rsid w:val="00353D64"/>
    <w:rsid w:val="00356952"/>
    <w:rsid w:val="00362969"/>
    <w:rsid w:val="00364354"/>
    <w:rsid w:val="00364862"/>
    <w:rsid w:val="00365410"/>
    <w:rsid w:val="00367AFC"/>
    <w:rsid w:val="003704E5"/>
    <w:rsid w:val="00371909"/>
    <w:rsid w:val="00374FAB"/>
    <w:rsid w:val="00376C88"/>
    <w:rsid w:val="003853E4"/>
    <w:rsid w:val="00391561"/>
    <w:rsid w:val="00395775"/>
    <w:rsid w:val="00397632"/>
    <w:rsid w:val="003A2A66"/>
    <w:rsid w:val="003B5795"/>
    <w:rsid w:val="003C1556"/>
    <w:rsid w:val="003C75F9"/>
    <w:rsid w:val="003D5CF3"/>
    <w:rsid w:val="003D77AE"/>
    <w:rsid w:val="003E2AA8"/>
    <w:rsid w:val="003F6EB9"/>
    <w:rsid w:val="00402745"/>
    <w:rsid w:val="00402D69"/>
    <w:rsid w:val="00402E9A"/>
    <w:rsid w:val="00404E1B"/>
    <w:rsid w:val="00406FC6"/>
    <w:rsid w:val="00407176"/>
    <w:rsid w:val="00413EA6"/>
    <w:rsid w:val="0041586D"/>
    <w:rsid w:val="00416B79"/>
    <w:rsid w:val="00417F45"/>
    <w:rsid w:val="00424CD7"/>
    <w:rsid w:val="004344B7"/>
    <w:rsid w:val="00442A5B"/>
    <w:rsid w:val="00442EC8"/>
    <w:rsid w:val="00443DD1"/>
    <w:rsid w:val="00447FB3"/>
    <w:rsid w:val="00451D6C"/>
    <w:rsid w:val="004547D0"/>
    <w:rsid w:val="00465789"/>
    <w:rsid w:val="0046669A"/>
    <w:rsid w:val="00467C61"/>
    <w:rsid w:val="00470B75"/>
    <w:rsid w:val="00472E77"/>
    <w:rsid w:val="00480040"/>
    <w:rsid w:val="00482FDE"/>
    <w:rsid w:val="00485035"/>
    <w:rsid w:val="00486646"/>
    <w:rsid w:val="004B04F8"/>
    <w:rsid w:val="004B2D33"/>
    <w:rsid w:val="004B4233"/>
    <w:rsid w:val="004B4D0D"/>
    <w:rsid w:val="004C0AC8"/>
    <w:rsid w:val="004C3124"/>
    <w:rsid w:val="004C3556"/>
    <w:rsid w:val="004C4AE4"/>
    <w:rsid w:val="004D2AAE"/>
    <w:rsid w:val="004D49DF"/>
    <w:rsid w:val="004D5A5A"/>
    <w:rsid w:val="004D793B"/>
    <w:rsid w:val="004E02DB"/>
    <w:rsid w:val="004E1FB5"/>
    <w:rsid w:val="004E3E68"/>
    <w:rsid w:val="004E4D21"/>
    <w:rsid w:val="004E6201"/>
    <w:rsid w:val="004F3817"/>
    <w:rsid w:val="004F7B89"/>
    <w:rsid w:val="005150B4"/>
    <w:rsid w:val="00522963"/>
    <w:rsid w:val="0052565C"/>
    <w:rsid w:val="005257F7"/>
    <w:rsid w:val="00527F96"/>
    <w:rsid w:val="005411C2"/>
    <w:rsid w:val="005418BB"/>
    <w:rsid w:val="00544B0F"/>
    <w:rsid w:val="00555F62"/>
    <w:rsid w:val="00566217"/>
    <w:rsid w:val="00570D60"/>
    <w:rsid w:val="00575916"/>
    <w:rsid w:val="0059080A"/>
    <w:rsid w:val="005B2111"/>
    <w:rsid w:val="005B32F5"/>
    <w:rsid w:val="005B5894"/>
    <w:rsid w:val="005C2E20"/>
    <w:rsid w:val="005C4EAA"/>
    <w:rsid w:val="005D3EFD"/>
    <w:rsid w:val="005D61F3"/>
    <w:rsid w:val="005F1A18"/>
    <w:rsid w:val="005F4AA0"/>
    <w:rsid w:val="005F51AD"/>
    <w:rsid w:val="005F5AF9"/>
    <w:rsid w:val="005F6ED6"/>
    <w:rsid w:val="006129E6"/>
    <w:rsid w:val="006140C6"/>
    <w:rsid w:val="0062612F"/>
    <w:rsid w:val="00626476"/>
    <w:rsid w:val="0063158F"/>
    <w:rsid w:val="006317C5"/>
    <w:rsid w:val="00633AAF"/>
    <w:rsid w:val="00634D4C"/>
    <w:rsid w:val="00635E2A"/>
    <w:rsid w:val="006400D8"/>
    <w:rsid w:val="0066234E"/>
    <w:rsid w:val="0066796A"/>
    <w:rsid w:val="00677802"/>
    <w:rsid w:val="0068212F"/>
    <w:rsid w:val="00682D35"/>
    <w:rsid w:val="00683621"/>
    <w:rsid w:val="00683890"/>
    <w:rsid w:val="006878F4"/>
    <w:rsid w:val="00691D71"/>
    <w:rsid w:val="00692318"/>
    <w:rsid w:val="006925D9"/>
    <w:rsid w:val="00695909"/>
    <w:rsid w:val="00696114"/>
    <w:rsid w:val="0069778A"/>
    <w:rsid w:val="006A0422"/>
    <w:rsid w:val="006B0D57"/>
    <w:rsid w:val="006B33F3"/>
    <w:rsid w:val="006B5EC1"/>
    <w:rsid w:val="006C01F9"/>
    <w:rsid w:val="006C0A9E"/>
    <w:rsid w:val="006C1FD2"/>
    <w:rsid w:val="006C6053"/>
    <w:rsid w:val="006D6B0B"/>
    <w:rsid w:val="006E163D"/>
    <w:rsid w:val="006E5567"/>
    <w:rsid w:val="006E74F4"/>
    <w:rsid w:val="006F19C8"/>
    <w:rsid w:val="006F470B"/>
    <w:rsid w:val="006F6466"/>
    <w:rsid w:val="006F64CB"/>
    <w:rsid w:val="00711990"/>
    <w:rsid w:val="007208E9"/>
    <w:rsid w:val="00724915"/>
    <w:rsid w:val="00732EDA"/>
    <w:rsid w:val="00733C14"/>
    <w:rsid w:val="00733F1A"/>
    <w:rsid w:val="0073520A"/>
    <w:rsid w:val="0074796C"/>
    <w:rsid w:val="007535B6"/>
    <w:rsid w:val="007646A2"/>
    <w:rsid w:val="00766CE2"/>
    <w:rsid w:val="007762F4"/>
    <w:rsid w:val="00784611"/>
    <w:rsid w:val="00790D2C"/>
    <w:rsid w:val="007956B7"/>
    <w:rsid w:val="007A089A"/>
    <w:rsid w:val="007A43E1"/>
    <w:rsid w:val="007A579B"/>
    <w:rsid w:val="007A6403"/>
    <w:rsid w:val="007B0CD8"/>
    <w:rsid w:val="007B4319"/>
    <w:rsid w:val="007B638F"/>
    <w:rsid w:val="007C06D6"/>
    <w:rsid w:val="007C311C"/>
    <w:rsid w:val="007C5263"/>
    <w:rsid w:val="007E2959"/>
    <w:rsid w:val="007E4743"/>
    <w:rsid w:val="007E7C58"/>
    <w:rsid w:val="007F3C4C"/>
    <w:rsid w:val="007F4B86"/>
    <w:rsid w:val="007F5F73"/>
    <w:rsid w:val="007F7CEE"/>
    <w:rsid w:val="00800F2C"/>
    <w:rsid w:val="00804EEB"/>
    <w:rsid w:val="00806150"/>
    <w:rsid w:val="00815835"/>
    <w:rsid w:val="008174F1"/>
    <w:rsid w:val="00827C42"/>
    <w:rsid w:val="00827E21"/>
    <w:rsid w:val="00830DA8"/>
    <w:rsid w:val="00831353"/>
    <w:rsid w:val="008403A6"/>
    <w:rsid w:val="008414BA"/>
    <w:rsid w:val="00842335"/>
    <w:rsid w:val="00843162"/>
    <w:rsid w:val="00843521"/>
    <w:rsid w:val="00860F74"/>
    <w:rsid w:val="00865E6D"/>
    <w:rsid w:val="0087171B"/>
    <w:rsid w:val="008773FC"/>
    <w:rsid w:val="008823E1"/>
    <w:rsid w:val="00884036"/>
    <w:rsid w:val="0088645E"/>
    <w:rsid w:val="008900A8"/>
    <w:rsid w:val="00891087"/>
    <w:rsid w:val="008A7004"/>
    <w:rsid w:val="008A796A"/>
    <w:rsid w:val="008B1168"/>
    <w:rsid w:val="008B3A0B"/>
    <w:rsid w:val="008C7F1D"/>
    <w:rsid w:val="008D5E65"/>
    <w:rsid w:val="008E1EFF"/>
    <w:rsid w:val="008F1267"/>
    <w:rsid w:val="008F1BB3"/>
    <w:rsid w:val="008F1FB1"/>
    <w:rsid w:val="008F3E84"/>
    <w:rsid w:val="009026FD"/>
    <w:rsid w:val="00912E03"/>
    <w:rsid w:val="00913FB2"/>
    <w:rsid w:val="00915DAB"/>
    <w:rsid w:val="009237DB"/>
    <w:rsid w:val="00934374"/>
    <w:rsid w:val="00935977"/>
    <w:rsid w:val="0093709F"/>
    <w:rsid w:val="0094137A"/>
    <w:rsid w:val="00946E79"/>
    <w:rsid w:val="00963084"/>
    <w:rsid w:val="00963D07"/>
    <w:rsid w:val="00971546"/>
    <w:rsid w:val="00982A65"/>
    <w:rsid w:val="009834D2"/>
    <w:rsid w:val="009916A5"/>
    <w:rsid w:val="00991FDE"/>
    <w:rsid w:val="009923F7"/>
    <w:rsid w:val="0099483A"/>
    <w:rsid w:val="009974BF"/>
    <w:rsid w:val="009A2024"/>
    <w:rsid w:val="009A7BEE"/>
    <w:rsid w:val="009B38F6"/>
    <w:rsid w:val="009B570B"/>
    <w:rsid w:val="009C3DDD"/>
    <w:rsid w:val="009C3E8F"/>
    <w:rsid w:val="009D5361"/>
    <w:rsid w:val="009D7AA5"/>
    <w:rsid w:val="009F163B"/>
    <w:rsid w:val="009F4D5C"/>
    <w:rsid w:val="009F703D"/>
    <w:rsid w:val="00A04969"/>
    <w:rsid w:val="00A15641"/>
    <w:rsid w:val="00A20FD6"/>
    <w:rsid w:val="00A22933"/>
    <w:rsid w:val="00A239EC"/>
    <w:rsid w:val="00A25A25"/>
    <w:rsid w:val="00A31575"/>
    <w:rsid w:val="00A45553"/>
    <w:rsid w:val="00A52B76"/>
    <w:rsid w:val="00A57D1C"/>
    <w:rsid w:val="00A647D4"/>
    <w:rsid w:val="00A71607"/>
    <w:rsid w:val="00A75538"/>
    <w:rsid w:val="00A9043F"/>
    <w:rsid w:val="00A94DE5"/>
    <w:rsid w:val="00AA3344"/>
    <w:rsid w:val="00AA4893"/>
    <w:rsid w:val="00AB0092"/>
    <w:rsid w:val="00AB0CFC"/>
    <w:rsid w:val="00AB18F9"/>
    <w:rsid w:val="00AB4052"/>
    <w:rsid w:val="00AC6A44"/>
    <w:rsid w:val="00AC73FA"/>
    <w:rsid w:val="00AD0792"/>
    <w:rsid w:val="00AD42D9"/>
    <w:rsid w:val="00AD6E43"/>
    <w:rsid w:val="00AF0E2C"/>
    <w:rsid w:val="00AF2816"/>
    <w:rsid w:val="00AF754E"/>
    <w:rsid w:val="00B03D6A"/>
    <w:rsid w:val="00B079CA"/>
    <w:rsid w:val="00B10EAD"/>
    <w:rsid w:val="00B1214B"/>
    <w:rsid w:val="00B1646E"/>
    <w:rsid w:val="00B21697"/>
    <w:rsid w:val="00B33EB8"/>
    <w:rsid w:val="00B3684A"/>
    <w:rsid w:val="00B42AE3"/>
    <w:rsid w:val="00B45CC3"/>
    <w:rsid w:val="00B47FFC"/>
    <w:rsid w:val="00B611B7"/>
    <w:rsid w:val="00B612D6"/>
    <w:rsid w:val="00B70A6C"/>
    <w:rsid w:val="00B7261D"/>
    <w:rsid w:val="00B80220"/>
    <w:rsid w:val="00B82CF3"/>
    <w:rsid w:val="00B9507A"/>
    <w:rsid w:val="00BA1BFA"/>
    <w:rsid w:val="00BA4507"/>
    <w:rsid w:val="00BA6A30"/>
    <w:rsid w:val="00BB1177"/>
    <w:rsid w:val="00BB651F"/>
    <w:rsid w:val="00BC02E7"/>
    <w:rsid w:val="00BC1899"/>
    <w:rsid w:val="00BC7EB3"/>
    <w:rsid w:val="00BD48DE"/>
    <w:rsid w:val="00BD5A2C"/>
    <w:rsid w:val="00BD6EAD"/>
    <w:rsid w:val="00BE4CE7"/>
    <w:rsid w:val="00BF2839"/>
    <w:rsid w:val="00BF6596"/>
    <w:rsid w:val="00BF6927"/>
    <w:rsid w:val="00C0642C"/>
    <w:rsid w:val="00C06FAE"/>
    <w:rsid w:val="00C12479"/>
    <w:rsid w:val="00C14904"/>
    <w:rsid w:val="00C16175"/>
    <w:rsid w:val="00C236F1"/>
    <w:rsid w:val="00C34ABE"/>
    <w:rsid w:val="00C35DA0"/>
    <w:rsid w:val="00C36DEE"/>
    <w:rsid w:val="00C41606"/>
    <w:rsid w:val="00C42D93"/>
    <w:rsid w:val="00C454DA"/>
    <w:rsid w:val="00C457C8"/>
    <w:rsid w:val="00C45B7D"/>
    <w:rsid w:val="00C45BFF"/>
    <w:rsid w:val="00C50005"/>
    <w:rsid w:val="00C51455"/>
    <w:rsid w:val="00C5651D"/>
    <w:rsid w:val="00C60A5A"/>
    <w:rsid w:val="00C61CAE"/>
    <w:rsid w:val="00C6452E"/>
    <w:rsid w:val="00C659E5"/>
    <w:rsid w:val="00C67A10"/>
    <w:rsid w:val="00C67C72"/>
    <w:rsid w:val="00C7654B"/>
    <w:rsid w:val="00C81D2A"/>
    <w:rsid w:val="00C84049"/>
    <w:rsid w:val="00C91055"/>
    <w:rsid w:val="00C925C5"/>
    <w:rsid w:val="00C92F89"/>
    <w:rsid w:val="00C94714"/>
    <w:rsid w:val="00CA06B5"/>
    <w:rsid w:val="00CA2FBB"/>
    <w:rsid w:val="00CA5C24"/>
    <w:rsid w:val="00CB124B"/>
    <w:rsid w:val="00CC4EEC"/>
    <w:rsid w:val="00CC52CB"/>
    <w:rsid w:val="00CC5550"/>
    <w:rsid w:val="00CC6022"/>
    <w:rsid w:val="00CD19C0"/>
    <w:rsid w:val="00CD7127"/>
    <w:rsid w:val="00CE6711"/>
    <w:rsid w:val="00D014CB"/>
    <w:rsid w:val="00D042E3"/>
    <w:rsid w:val="00D04C26"/>
    <w:rsid w:val="00D11990"/>
    <w:rsid w:val="00D12243"/>
    <w:rsid w:val="00D140CA"/>
    <w:rsid w:val="00D173A0"/>
    <w:rsid w:val="00D238C1"/>
    <w:rsid w:val="00D245E0"/>
    <w:rsid w:val="00D2601A"/>
    <w:rsid w:val="00D3541E"/>
    <w:rsid w:val="00D410A1"/>
    <w:rsid w:val="00D44159"/>
    <w:rsid w:val="00D504F5"/>
    <w:rsid w:val="00D54070"/>
    <w:rsid w:val="00D54310"/>
    <w:rsid w:val="00D62FE8"/>
    <w:rsid w:val="00D655A2"/>
    <w:rsid w:val="00D667CB"/>
    <w:rsid w:val="00D67E94"/>
    <w:rsid w:val="00D74596"/>
    <w:rsid w:val="00D82262"/>
    <w:rsid w:val="00D849DB"/>
    <w:rsid w:val="00D85D78"/>
    <w:rsid w:val="00D92CCA"/>
    <w:rsid w:val="00D94230"/>
    <w:rsid w:val="00DA1683"/>
    <w:rsid w:val="00DA70DC"/>
    <w:rsid w:val="00DB00FC"/>
    <w:rsid w:val="00DB396A"/>
    <w:rsid w:val="00DB3988"/>
    <w:rsid w:val="00DB4D60"/>
    <w:rsid w:val="00DB5450"/>
    <w:rsid w:val="00DB6713"/>
    <w:rsid w:val="00DC0749"/>
    <w:rsid w:val="00DC1624"/>
    <w:rsid w:val="00DC41DB"/>
    <w:rsid w:val="00DC4FFE"/>
    <w:rsid w:val="00DD2520"/>
    <w:rsid w:val="00DD2AD8"/>
    <w:rsid w:val="00DD6519"/>
    <w:rsid w:val="00DD7439"/>
    <w:rsid w:val="00DE33D6"/>
    <w:rsid w:val="00DE4352"/>
    <w:rsid w:val="00DE7B11"/>
    <w:rsid w:val="00DF0B4B"/>
    <w:rsid w:val="00DF1B4E"/>
    <w:rsid w:val="00DF4E7C"/>
    <w:rsid w:val="00DF61BD"/>
    <w:rsid w:val="00E0337D"/>
    <w:rsid w:val="00E12072"/>
    <w:rsid w:val="00E12E79"/>
    <w:rsid w:val="00E15985"/>
    <w:rsid w:val="00E159FA"/>
    <w:rsid w:val="00E22618"/>
    <w:rsid w:val="00E230AA"/>
    <w:rsid w:val="00E23DB8"/>
    <w:rsid w:val="00E30456"/>
    <w:rsid w:val="00E31972"/>
    <w:rsid w:val="00E351AD"/>
    <w:rsid w:val="00E369B4"/>
    <w:rsid w:val="00E47051"/>
    <w:rsid w:val="00E501DA"/>
    <w:rsid w:val="00E5059F"/>
    <w:rsid w:val="00E53927"/>
    <w:rsid w:val="00E61A7E"/>
    <w:rsid w:val="00E6311F"/>
    <w:rsid w:val="00E67C4C"/>
    <w:rsid w:val="00E71978"/>
    <w:rsid w:val="00E74691"/>
    <w:rsid w:val="00E77D69"/>
    <w:rsid w:val="00E949A5"/>
    <w:rsid w:val="00E96E3E"/>
    <w:rsid w:val="00EA3094"/>
    <w:rsid w:val="00EB4F16"/>
    <w:rsid w:val="00EF12C2"/>
    <w:rsid w:val="00EF5CCE"/>
    <w:rsid w:val="00EF7935"/>
    <w:rsid w:val="00F0324E"/>
    <w:rsid w:val="00F04708"/>
    <w:rsid w:val="00F05DB9"/>
    <w:rsid w:val="00F06578"/>
    <w:rsid w:val="00F07591"/>
    <w:rsid w:val="00F134EF"/>
    <w:rsid w:val="00F13AC9"/>
    <w:rsid w:val="00F22345"/>
    <w:rsid w:val="00F25148"/>
    <w:rsid w:val="00F31475"/>
    <w:rsid w:val="00F455CA"/>
    <w:rsid w:val="00F55412"/>
    <w:rsid w:val="00F5556E"/>
    <w:rsid w:val="00F645C3"/>
    <w:rsid w:val="00F64910"/>
    <w:rsid w:val="00F679E3"/>
    <w:rsid w:val="00F738D2"/>
    <w:rsid w:val="00F73D6F"/>
    <w:rsid w:val="00F73E69"/>
    <w:rsid w:val="00F75B22"/>
    <w:rsid w:val="00F76E04"/>
    <w:rsid w:val="00F80289"/>
    <w:rsid w:val="00F916DB"/>
    <w:rsid w:val="00F922E9"/>
    <w:rsid w:val="00F96474"/>
    <w:rsid w:val="00FA0687"/>
    <w:rsid w:val="00FA1F8F"/>
    <w:rsid w:val="00FA53DA"/>
    <w:rsid w:val="00FB0AE3"/>
    <w:rsid w:val="00FB0C21"/>
    <w:rsid w:val="00FB0D4B"/>
    <w:rsid w:val="00FB0F81"/>
    <w:rsid w:val="00FB4F39"/>
    <w:rsid w:val="00FB53E8"/>
    <w:rsid w:val="00FE3290"/>
    <w:rsid w:val="00FF2A78"/>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spacing w:after="0"/>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5NUHHDQN7SK2-1476151046-32757</_dlc_DocId>
    <_dlc_DocIdUrl xmlns="f166a696-7b5b-4ccd-9f0c-ffde0cceec81">
      <Url>https://ericsson.sharepoint.com/sites/star/_layouts/15/DocIdRedir.aspx?ID=5NUHHDQN7SK2-1476151046-32757</Url>
      <Description>5NUHHDQN7SK2-1476151046-32757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6CF4286-2A34-4A59-946F-2CA1C699BC9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4933E21-FB83-4C3F-83FE-50421442A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BE7EDD87-AA7A-4A60-924B-AABD82FFCF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1023</Words>
  <Characters>5833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2018-09-05T10:32:00Z</dcterms:created>
  <dcterms:modified xsi:type="dcterms:W3CDTF">2018-09-27T22:31:00Z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ab22aa03-3c0c-4831-b20a-675daafded21</vt:lpwstr>
  </property>
  <property fmtid="{D5CDD505-2E9C-101B-9397-08002B2CF9AE}" pid="13" name="URL">
    <vt:lpwstr/>
  </property>
  <property fmtid="{D5CDD505-2E9C-101B-9397-08002B2CF9AE}" pid="14" name="Comments">
    <vt:lpwstr/>
  </property>
</Properties>
</file>